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451</w:t>
      </w:r>
    </w:p>
    <w:p>
      <w:r>
        <w:t>Bundesgericht (BGE), 1988-01-14, DE</w:t>
      </w:r>
    </w:p>
    <w:p>
      <w:r>
        <w:rPr>
          <w:b/>
        </w:rPr>
        <w:t xml:space="preserve">Quelle: </w:t>
      </w:r>
      <w:r>
        <w:t>https://mcp.opencaselaw.ch/entscheid/bge_115 II 451</w:t>
      </w:r>
    </w:p>
    <w:p>
      <w:r>
        <w:t>FR: ATF 115 II 451</w:t>
      </w:r>
    </w:p>
    <w:p>
      <w:r>
        <w:t>IT: DTF 115 II 451</w:t>
      </w:r>
    </w:p>
    <w:p>
      <w:pPr>
        <w:pStyle w:val="Heading2"/>
      </w:pPr>
      <w:r>
        <w:t>Regeste</w:t>
      </w:r>
    </w:p>
    <w:p>
      <w:r>
        <w:t>Regeste Kaufvertrag; Selbsthilfeverkauf bei Annahmeverzug des Käufers. Der Verkäufer ist weder gemäss Art. 93 Abs. 1 OR noch aufgrund einer Sondervorschrift des Kaufvertragsrechts zur Vornahme eines Selbsthilfeverkaufs verpflichtet. Eine solche Pflicht kann sich dagegen aus dem Gebot des Handelns nach Treu und Glauben oder unmittelbar aus dem Vertragsverhältnis ergeben, setzt aber voraus, dass die Unterlassung des Selbsthilfeverkaufs einem Rechtsmissbrauch gleichkäme.</w:t>
      </w:r>
    </w:p>
    <w:p>
      <w:pPr>
        <w:pStyle w:val="Heading2"/>
      </w:pPr>
      <w:r>
        <w:t>Erwägungen</w:t>
      </w:r>
    </w:p>
    <w:p>
      <w:r>
        <w:rPr>
          <w:b/>
        </w:rPr>
        <w:t>E. 3</w:t>
      </w:r>
    </w:p>
    <w:p>
      <w:r>
        <w:t>Unbegründet ist schliesslich auch der Vorwurf, die Klägerin habe ihre Pflicht zur Schadenminderung verletzt, weil sie nicht nach Art. 93 Abs. 1 OR vorgegangen sei und die Stoffe nicht sofort habe öffentlich verkaufen lassen. Aus dieser Bestimmung ergibt sich lediglich das Recht, nicht aber die Pflicht des Sachleistungsschuldners zur Vornahme eines Selbsthilfeverkaufes. Eine solche Pflicht lässt sich auch nicht aus einer Sondervorschrift des Kaufvertragsrechts ableiten. In der Lehre ist allerdings anerkannt, dass der Schuldner ausnahmsweise gehalten ist, die Sache verkaufen zu lassen. Diese Pflicht gründet nach der einen Auffassung auf dem Gebot des Handelns nach Treu und Glauben (OSER/SCHÖNENBERGER, N. 3 zu Art. 93 OR ; BUCHER, OR Allg. Teil, 2. Aufl., S. 322 Fn. 16 uns S. 323); nach der anderen ergibt sie sich unmittelbar aus dem Vertragsverhältnis (VON TUHR/ESCHER, Allg. Teil OR, Bd. II, S. 82 Fn. 57; ENGEL, Traité des obligations en droit suisse, S. 449). Wie WEBER (N. 8 zu Art. 93 OR ) jedoch zutreffend hervorhebt, bejahen alle Autoren eine Verpflichtung zum Verkauf nur dann, wenn vorauszusehen ist, dass andernfalls eine erhebliche Schädigung des Gläubigers eintreten würde, d.h. die Unterlassung des Schuldners einem Rechtsmissbrauch gleichkäme. Dafür fehlen im vorliegenden Fall aber jegliche Anhaltspunkte. Dass die Stoffe angeblich modebedingten Nachfrageschwankungen unterliegen, reicht jedenfalls unter Berücksichtigung des klar vertragswidrigen Verhaltens der Beklagten für sich allein nicht aus, den Verzicht der Klägerin auf einen Selbsthilfeverkauf als rechtsmissbräuchlich erscheinen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